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C49DA04" w14:textId="47D0A9FE" w:rsidR="002B6327" w:rsidRDefault="00876B32" w:rsidP="002B6327">
      <w:pPr>
        <w:pStyle w:val="Default"/>
        <w:rPr>
          <w:rFonts w:asciiTheme="minorHAnsi" w:hAnsiTheme="minorHAnsi" w:cstheme="minorHAnsi"/>
          <w:b/>
          <w:bCs/>
        </w:rPr>
      </w:pPr>
      <w:r w:rsidRPr="00876B32">
        <w:rPr>
          <w:rFonts w:asciiTheme="minorHAnsi" w:hAnsiTheme="minorHAnsi" w:cstheme="minorHAnsi"/>
          <w:b/>
          <w:bCs/>
        </w:rPr>
        <w:t>Real Decreto-ley 24/2021, de 2 de noviembre, de transposición de directivas de la Unión Europea en las materias de bonos garantizados, distribución transfronteriza de organismos de inversión colectiva, datos abiertos y reutilización de la información del sector público, ejercicio de derechos de autor y derechos afines aplicables a determinadas transmisiones en línea y a las retransmisiones de programas de radio y televisión, exenciones temporales a determinadas importaciones y suministros, de personas consumidoras y para la promoción de vehículos de transporte por carretera limpios y energéticamente eficientes.</w:t>
      </w:r>
    </w:p>
    <w:p w14:paraId="2B165BA1" w14:textId="13C5E79D" w:rsidR="00876B32" w:rsidRDefault="00876B32" w:rsidP="002B6327">
      <w:pPr>
        <w:pStyle w:val="Default"/>
        <w:rPr>
          <w:rFonts w:asciiTheme="minorHAnsi" w:hAnsiTheme="minorHAnsi" w:cstheme="minorHAnsi"/>
          <w:b/>
          <w:bCs/>
        </w:rPr>
      </w:pPr>
    </w:p>
    <w:p w14:paraId="2A532763" w14:textId="4348D212" w:rsidR="00876B32" w:rsidRPr="00876B32" w:rsidRDefault="00876B32" w:rsidP="002B6327">
      <w:pPr>
        <w:pStyle w:val="Default"/>
        <w:rPr>
          <w:rFonts w:asciiTheme="minorHAnsi" w:hAnsiTheme="minorHAnsi" w:cstheme="minorHAnsi"/>
          <w:b/>
          <w:bCs/>
        </w:rPr>
      </w:pPr>
      <w:hyperlink r:id="rId4" w:history="1">
        <w:r w:rsidRPr="00E74281">
          <w:rPr>
            <w:rStyle w:val="Hipervnculo"/>
            <w:rFonts w:asciiTheme="minorHAnsi" w:hAnsiTheme="minorHAnsi" w:cstheme="minorHAnsi"/>
            <w:b/>
            <w:bCs/>
          </w:rPr>
          <w:t>https://www.boe.es/boe/dias/2021/11/03/pdfs/BOE-A-2021-17910.pdf</w:t>
        </w:r>
      </w:hyperlink>
      <w:r>
        <w:rPr>
          <w:rFonts w:asciiTheme="minorHAnsi" w:hAnsiTheme="minorHAnsi" w:cstheme="minorHAnsi"/>
          <w:b/>
          <w:bCs/>
        </w:rPr>
        <w:t xml:space="preserve"> </w:t>
      </w:r>
    </w:p>
    <w:p w14:paraId="0838751C" w14:textId="77777777" w:rsidR="00876B32" w:rsidRPr="002B6327" w:rsidRDefault="00876B32" w:rsidP="002B6327">
      <w:pPr>
        <w:pStyle w:val="Default"/>
        <w:rPr>
          <w:rFonts w:asciiTheme="minorHAnsi" w:hAnsiTheme="minorHAnsi" w:cstheme="minorHAnsi"/>
        </w:rPr>
      </w:pPr>
    </w:p>
    <w:p w14:paraId="164698AD" w14:textId="77777777"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El Libro tercero del presente real decreto-ley incorpora al ordenamiento jurídico español las novedades que recoge la Directiva (UE) 2019/1024 del Parlamento Europeo y del Consejo, de 20 de junio de 2019, relativa a los datos abiertos y la reutilización de la información del sector público.</w:t>
      </w:r>
    </w:p>
    <w:p w14:paraId="690C7FD6" w14:textId="77777777" w:rsidR="002B6327" w:rsidRDefault="002B6327" w:rsidP="002B6327">
      <w:pPr>
        <w:pStyle w:val="Default"/>
        <w:rPr>
          <w:rFonts w:asciiTheme="minorHAnsi" w:hAnsiTheme="minorHAnsi" w:cstheme="minorHAnsi"/>
        </w:rPr>
      </w:pPr>
    </w:p>
    <w:p w14:paraId="2D5BD913" w14:textId="02F0C043"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La información pública constituye un importante recurso para promover la economía de los datos. Mediante la reutilización de esta información generada por el sector público y la puesta a disposición de este gran volumen de información, se generan grandes beneficios económicos y sociales, así como de transparencia de las administraciones.</w:t>
      </w:r>
    </w:p>
    <w:p w14:paraId="0E58E25D" w14:textId="77777777" w:rsidR="002B6327" w:rsidRDefault="002B6327" w:rsidP="002B6327">
      <w:pPr>
        <w:pStyle w:val="Default"/>
        <w:rPr>
          <w:rFonts w:asciiTheme="minorHAnsi" w:hAnsiTheme="minorHAnsi" w:cstheme="minorHAnsi"/>
        </w:rPr>
      </w:pPr>
    </w:p>
    <w:p w14:paraId="37A37888" w14:textId="0E6D3362"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La Ley 37/2007, de 16 de noviembre, sobre reutilización de la información del sector público, transpuso al ordenamiento jurídico la Directiva 2003/98/CE, de 17 de noviembre de 2003, relativa a la reutilización de la información del sector público y dispuso un marco general mínimo para las condiciones de reutilización, subrayando la potencialidad que otorga la información generada desde las instancias públicas al desarrollo de la sociedad de la información y como elemento de apertura y participación democrática, donde el eje central era la autorización potestativa de la reutilización.</w:t>
      </w:r>
    </w:p>
    <w:p w14:paraId="5BC778AC" w14:textId="77777777" w:rsidR="002B6327" w:rsidRDefault="002B6327" w:rsidP="002B6327">
      <w:pPr>
        <w:pStyle w:val="Default"/>
        <w:rPr>
          <w:rFonts w:asciiTheme="minorHAnsi" w:hAnsiTheme="minorHAnsi" w:cstheme="minorHAnsi"/>
        </w:rPr>
      </w:pPr>
    </w:p>
    <w:p w14:paraId="1553CFF4" w14:textId="1DF85AFE"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Con la publicación de la Ley 18/2015, de 9 de julio, por la que se modifica la Ley 37/2007, de 16 de noviembre, se transpuso la Directiva 2013/37/UE, que modifica la anterior Directiva 2003/98/CE, y que tuvo como objetivo actualizar el régimen de la reutilización de la información, teniendo en cuenta los profundos cambios producidos en cuanto al volumen de información generada, el progreso de la tecnología para su análisis y explotación y la creciente concienciación del valor de la información pública e interés por la reutilización como herramienta para fomentar el crecimiento económico, el compromiso social y la transparencia. Una tercera modificación de la Ley 37/2007, de 16 de noviembre, para adaptar su ámbito subjetivo a las previsiones de la Ley 40/2015, de 1 de octubre, de Régimen Jurídico del Sector Público, su ámbito objetivo y las tarifas aplicables, se llevó a cabo mediante la Ley 9/2017, de 8 de noviembre, de Contratos del Sector Público, por la que se transponen al ordenamiento jurídico español las Directivas del Parlamento Europeo y del Consejo 2014/24/UE, de 26 de febrero de 2014.</w:t>
      </w:r>
    </w:p>
    <w:p w14:paraId="1EE2E506" w14:textId="77777777" w:rsidR="002B6327" w:rsidRDefault="002B6327" w:rsidP="002B6327">
      <w:pPr>
        <w:pStyle w:val="Default"/>
        <w:rPr>
          <w:rFonts w:asciiTheme="minorHAnsi" w:hAnsiTheme="minorHAnsi" w:cstheme="minorHAnsi"/>
        </w:rPr>
      </w:pPr>
    </w:p>
    <w:p w14:paraId="4B5D6F40" w14:textId="1F91291C"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lastRenderedPageBreak/>
        <w:t>Tras la aprobación de la Directiva (UE) 2019/1024 del Parlamento Europeo y del Consejo, de 20 de junio de 2019, relativa a los datos abiertos y la reutilización de la información del sector público es necesario llevar a cabo la transposición de la misma.</w:t>
      </w:r>
    </w:p>
    <w:p w14:paraId="69F443D4" w14:textId="77777777" w:rsidR="008C1315" w:rsidRDefault="008C1315" w:rsidP="002B6327">
      <w:pPr>
        <w:pStyle w:val="Default"/>
        <w:rPr>
          <w:rFonts w:asciiTheme="minorHAnsi" w:hAnsiTheme="minorHAnsi" w:cstheme="minorHAnsi"/>
        </w:rPr>
      </w:pPr>
    </w:p>
    <w:p w14:paraId="5A81B926" w14:textId="45871317"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Se trata, por tanto, de incorporar al ordenamiento jurídico español la Directiva 2019/1024 llevando a cabo para ello una nueva modificación de la Ley 37/2007, de 16 de noviembre. A tal fin, se modifican 10 artículos, una disposición adicional, la disposición transitoria única y el anexo de la Ley 37/2007, de 16 de noviembre, se suprime una disposición adicional y se introducen 3 nuevos artículos.</w:t>
      </w:r>
    </w:p>
    <w:p w14:paraId="32DF8F3E" w14:textId="77777777" w:rsidR="008C1315" w:rsidRDefault="008C1315" w:rsidP="00365128">
      <w:pPr>
        <w:pStyle w:val="Default"/>
        <w:rPr>
          <w:rFonts w:asciiTheme="minorHAnsi" w:hAnsiTheme="minorHAnsi" w:cstheme="minorHAnsi"/>
        </w:rPr>
      </w:pPr>
    </w:p>
    <w:p w14:paraId="4D574A72" w14:textId="2C4D771E" w:rsidR="002B6327" w:rsidRPr="002B6327" w:rsidRDefault="002B6327" w:rsidP="00365128">
      <w:pPr>
        <w:pStyle w:val="Default"/>
        <w:rPr>
          <w:rFonts w:asciiTheme="minorHAnsi" w:hAnsiTheme="minorHAnsi" w:cstheme="minorHAnsi"/>
        </w:rPr>
      </w:pPr>
      <w:r w:rsidRPr="002B6327">
        <w:rPr>
          <w:rFonts w:asciiTheme="minorHAnsi" w:hAnsiTheme="minorHAnsi" w:cstheme="minorHAnsi"/>
        </w:rPr>
        <w:t>En el Título preliminar de la Ley (que regula su objeto, el ámbito de aplicación, tanto objetivo como subjetivo, los datos de investigación y los conjuntos de datos de alto valor)</w:t>
      </w:r>
      <w:r w:rsidR="00365128">
        <w:rPr>
          <w:rFonts w:asciiTheme="minorHAnsi" w:hAnsiTheme="minorHAnsi" w:cstheme="minorHAnsi"/>
        </w:rPr>
        <w:t xml:space="preserve"> </w:t>
      </w:r>
      <w:r w:rsidRPr="002B6327">
        <w:rPr>
          <w:rFonts w:asciiTheme="minorHAnsi" w:hAnsiTheme="minorHAnsi" w:cstheme="minorHAnsi"/>
        </w:rPr>
        <w:t>se modifica el artículo 1 que amplía su objeto a la regulación básica del régimen jurídico aplicable a la reutilización de los documentos elaborados o custodiados por sociedades mercantiles públicas (que en la Directiva denomina «empresas públicas») de ámbitos concretos y los datos de investigación, de acuerdo a las novedades que se incluyen en el artículo 1 de la Directiva. Esas sociedades mercantiles públicas (cuyo detalle se introduce en el nuevo párrafo c) del artículo 2) son aquellas en las que concurran las siguientes circunstancias:</w:t>
      </w:r>
    </w:p>
    <w:p w14:paraId="162DD0BA" w14:textId="77777777" w:rsidR="002B6327" w:rsidRDefault="002B6327" w:rsidP="002B6327">
      <w:pPr>
        <w:pStyle w:val="Default"/>
        <w:rPr>
          <w:rFonts w:asciiTheme="minorHAnsi" w:hAnsiTheme="minorHAnsi" w:cstheme="minorHAnsi"/>
        </w:rPr>
      </w:pPr>
    </w:p>
    <w:p w14:paraId="28CFD29B" w14:textId="0178E675"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a) Que lleven a cabo su actividad en los ámbitos definidos en la Directiva 2014/25/UE del Parlamento Europeo y del Consejo, de 26 de febrero de 2014, relativa a la contratación por entidades que operan en los sectores del agua, la energía, los transportes y los servicios postales y por la que se deroga la Directiva 2004/17/CE Texto pertinente a efectos del EEE.</w:t>
      </w:r>
    </w:p>
    <w:p w14:paraId="6BECB79B" w14:textId="77777777" w:rsidR="002B6327" w:rsidRDefault="002B6327" w:rsidP="002B6327">
      <w:pPr>
        <w:pStyle w:val="Default"/>
        <w:rPr>
          <w:rFonts w:asciiTheme="minorHAnsi" w:hAnsiTheme="minorHAnsi" w:cstheme="minorHAnsi"/>
        </w:rPr>
      </w:pPr>
    </w:p>
    <w:p w14:paraId="47CF39F5" w14:textId="76AD2837"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b) Que actúen como operadores de servicio público con arreglo al artículo 2 del Reglamento (CE) n.º 1370/2007 del Parlamento Europeo y del Consejo, de 23 de octubre de 2007, sobre los servicios públicos de transporte de viajeros por ferrocarril y carretera y por el que se derogan los Reglamentos (CEE) n.º 1191/69 y (CEE) n.º 1107/70 del Consejo.</w:t>
      </w:r>
    </w:p>
    <w:p w14:paraId="60A2B6EC" w14:textId="77777777" w:rsidR="002B6327" w:rsidRDefault="002B6327" w:rsidP="002B6327">
      <w:pPr>
        <w:pStyle w:val="Default"/>
        <w:rPr>
          <w:rFonts w:asciiTheme="minorHAnsi" w:hAnsiTheme="minorHAnsi" w:cstheme="minorHAnsi"/>
        </w:rPr>
      </w:pPr>
    </w:p>
    <w:p w14:paraId="73EF47F0" w14:textId="734CB402"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c) Que actúen como compañías aéreas que cumplen obligaciones de servicio público con arreglo al artículo 16 del Reglamento (CE) n.º 1008/2008 del Parlamento Europeo y del Consejo, de 24 de septiembre de 2008, sobre normas comunes para la explotación de servicios aéreos en la Comunidad.</w:t>
      </w:r>
    </w:p>
    <w:p w14:paraId="6FC724DD" w14:textId="77777777" w:rsidR="002B6327" w:rsidRDefault="002B6327" w:rsidP="002B6327">
      <w:pPr>
        <w:pStyle w:val="Default"/>
        <w:rPr>
          <w:rFonts w:asciiTheme="minorHAnsi" w:hAnsiTheme="minorHAnsi" w:cstheme="minorHAnsi"/>
        </w:rPr>
      </w:pPr>
    </w:p>
    <w:p w14:paraId="3DA7BD85" w14:textId="5D5061DC"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d) Que actúen como armadores comunitarios que cumplen obligaciones de servicio público con arreglo al artículo 4 del Reglamento (CEE) n.º 3577/92 del Consejo, de 7 de diciembre de 1992, por el que se aplica el principio de libre prestación de servicios a los transportes marítimos dentro de los Estados miembros (cabotaje marítimo).</w:t>
      </w:r>
    </w:p>
    <w:p w14:paraId="74A620CC" w14:textId="77777777" w:rsidR="002B6327" w:rsidRDefault="002B6327" w:rsidP="002B6327">
      <w:pPr>
        <w:pStyle w:val="Default"/>
        <w:rPr>
          <w:rFonts w:asciiTheme="minorHAnsi" w:hAnsiTheme="minorHAnsi" w:cstheme="minorHAnsi"/>
        </w:rPr>
      </w:pPr>
    </w:p>
    <w:p w14:paraId="0C4668A5" w14:textId="77777777" w:rsidR="002B6327" w:rsidRDefault="002B6327" w:rsidP="002B6327">
      <w:pPr>
        <w:pStyle w:val="Default"/>
        <w:rPr>
          <w:rFonts w:asciiTheme="minorHAnsi" w:hAnsiTheme="minorHAnsi" w:cstheme="minorHAnsi"/>
        </w:rPr>
      </w:pPr>
      <w:r w:rsidRPr="002B6327">
        <w:rPr>
          <w:rFonts w:asciiTheme="minorHAnsi" w:hAnsiTheme="minorHAnsi" w:cstheme="minorHAnsi"/>
        </w:rPr>
        <w:t xml:space="preserve">En el artículo 3, que regula el ámbito objetivo de aplicación se incluyen varias novedades, pues, en primer lugar, amplía el concepto de reutilización de la información a las mencionadas sociedades mercantiles públicas, con fines comerciales o no comerciales distintos del propósito inicial que tenían esos documentos de prestar servicios de interés general para el que se produjeron, excepto para el intercambio de </w:t>
      </w:r>
      <w:r w:rsidRPr="002B6327">
        <w:rPr>
          <w:rFonts w:asciiTheme="minorHAnsi" w:hAnsiTheme="minorHAnsi" w:cstheme="minorHAnsi"/>
        </w:rPr>
        <w:lastRenderedPageBreak/>
        <w:t xml:space="preserve">documentos entre estas sociedades mercantiles públicas y el resto de sujetos previstos en el artículo 2 que se realice exclusivamente en el desarrollo de las actividades de servicio público de estos últimos. En segundo lugar, en transposición del apartado 7 del artículo 1 de la Directiva se establece que la ley se aplica, asimismo, a los datos de investigación en los términos previstos en el artículo 11 y a los documentos a los que se aplica la Directiva Inspire (Directiva 2007/2/CE del Parlamento Europeo y del </w:t>
      </w:r>
    </w:p>
    <w:p w14:paraId="671E708E" w14:textId="04293D24"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Consejo, de 14 de marzo de 2007, por la que se establece una infraestructura de información espacial en la Comunidad Europea). Por último, se actualiza parcialmente la descripción de los documentos excluidos de la aplicación de la ley dentro del apartado 3.</w:t>
      </w:r>
    </w:p>
    <w:p w14:paraId="7B9C2392" w14:textId="77777777" w:rsidR="002B6327" w:rsidRDefault="002B6327" w:rsidP="002B6327">
      <w:pPr>
        <w:pStyle w:val="Default"/>
        <w:rPr>
          <w:rFonts w:asciiTheme="minorHAnsi" w:hAnsiTheme="minorHAnsi" w:cstheme="minorHAnsi"/>
        </w:rPr>
      </w:pPr>
    </w:p>
    <w:p w14:paraId="52490B75" w14:textId="77777777" w:rsidR="00D64970" w:rsidRDefault="002B6327" w:rsidP="00365128">
      <w:pPr>
        <w:pStyle w:val="Default"/>
        <w:rPr>
          <w:rFonts w:asciiTheme="minorHAnsi" w:hAnsiTheme="minorHAnsi" w:cstheme="minorHAnsi"/>
        </w:rPr>
      </w:pPr>
      <w:r w:rsidRPr="002B6327">
        <w:rPr>
          <w:rFonts w:asciiTheme="minorHAnsi" w:hAnsiTheme="minorHAnsi" w:cstheme="minorHAnsi"/>
        </w:rPr>
        <w:t xml:space="preserve">Asimismo, se incluye un nuevo artículo 3.bis, sobre «Datos de investigación», que transpone el artículo 10 de la Directiva, con un doble alcance. Por una parte, se establece un mandato a los sujetos previstos en el artículo 2 y que realicen actividades de investigación o financien la investigación para que adopten medidas para apoyar que los datos de investigaciones financiadas públicamente sean plenamente reutilizables, interoperables y de acceso abierto. Ese mandato se modula con la previsión de que para su cumplimiento se deberán tener en cuenta las limitaciones que pudieran derivarse de los derechos de propiedad intelectual e industrial, la protección de datos personales y la confidencialidad, la seguridad y los intereses comerciales legítimos. Por otra parte, se establece que los datos de investigación serán reutilizables para fines comerciales o no comerciales, de conformidad con lo dispuesto en la Ley 37/2007, cuando sean financiados con fondos públicos y cuando los investigadores, las universidades o las organizaciones que realizan actividades de investigación o las organizaciones que financien la investigación ya hubieran puesto tales datos a disposición del público a través de un repositorio institucional o temático. </w:t>
      </w:r>
    </w:p>
    <w:p w14:paraId="364AA895" w14:textId="77777777" w:rsidR="00D64970" w:rsidRDefault="00D64970" w:rsidP="00365128">
      <w:pPr>
        <w:pStyle w:val="Default"/>
        <w:rPr>
          <w:rFonts w:asciiTheme="minorHAnsi" w:hAnsiTheme="minorHAnsi" w:cstheme="minorHAnsi"/>
        </w:rPr>
      </w:pPr>
    </w:p>
    <w:p w14:paraId="2BC22FC3" w14:textId="574968E9" w:rsidR="002B6327" w:rsidRPr="002B6327" w:rsidRDefault="002B6327" w:rsidP="00365128">
      <w:pPr>
        <w:pStyle w:val="Default"/>
        <w:rPr>
          <w:rFonts w:asciiTheme="minorHAnsi" w:hAnsiTheme="minorHAnsi" w:cstheme="minorHAnsi"/>
        </w:rPr>
      </w:pPr>
      <w:r w:rsidRPr="002B6327">
        <w:rPr>
          <w:rFonts w:asciiTheme="minorHAnsi" w:hAnsiTheme="minorHAnsi" w:cstheme="minorHAnsi"/>
        </w:rPr>
        <w:t>Esa previsión se prevé sin perjuicio tanto del artículo 3.3.e) (que excluye de la reutilización los documentos sobre los que existan derechos de propiedad intelectual o industrial por parte de terceros), con pleno respeto, por tanto, a la normativa vigente en materia de propiedad intelectual, como sin perjuicio de los intereses comerciales legítimos, las actividades de transferencia de conocimientos y los derechos de propiedad intelectual preexistentes.</w:t>
      </w:r>
    </w:p>
    <w:p w14:paraId="08A2D9A5" w14:textId="77777777" w:rsidR="00365128" w:rsidRDefault="00365128" w:rsidP="002B6327">
      <w:pPr>
        <w:pStyle w:val="Default"/>
        <w:rPr>
          <w:rFonts w:asciiTheme="minorHAnsi" w:hAnsiTheme="minorHAnsi" w:cstheme="minorHAnsi"/>
        </w:rPr>
      </w:pPr>
    </w:p>
    <w:p w14:paraId="53AF0D67" w14:textId="2A0122DA"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En el título preliminar se incorpora también un nuevo artículo 3.ter que regula los «Conjuntos de datos de alto valor» para incluir la posibilidad de establecer conjuntos de alto valor a nivel nacional trasponiendo con ello los artículos 13 y 14 de la Directiva.</w:t>
      </w:r>
    </w:p>
    <w:p w14:paraId="7DA1FFC8" w14:textId="77777777"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En el Título II de la Ley 37/2007, de 16 de noviembre, que regula el régimen jurídico de la reutilización de la información del sector público se introducen diferentes modificaciones en los artículos 4 a 8.</w:t>
      </w:r>
    </w:p>
    <w:p w14:paraId="2B38F7E8" w14:textId="77777777" w:rsidR="00365128" w:rsidRDefault="00365128" w:rsidP="002B6327">
      <w:pPr>
        <w:pStyle w:val="Default"/>
        <w:rPr>
          <w:rFonts w:asciiTheme="minorHAnsi" w:hAnsiTheme="minorHAnsi" w:cstheme="minorHAnsi"/>
        </w:rPr>
      </w:pPr>
    </w:p>
    <w:p w14:paraId="4ADE93EA" w14:textId="17FBA015"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 xml:space="preserve">Así, en el artículo 4 se incluyen pequeños cambios para adaptar a las condiciones que se reflejan en la Directiva, incluida la reutilización transfronteriza; se introduce un nuevo apartado sobre la exclusión del ejercicio del derecho del fabricante de bases de datos previsto en el artículo 1.6 de la Directiva para evitar la reutilización de documentos o restringir la reutilización más allá de los límites establecidos en esta Ley; se introduce la previsión de que los sujetos a que se refieren los párrafos a) y b) del </w:t>
      </w:r>
      <w:r w:rsidRPr="002B6327">
        <w:rPr>
          <w:rFonts w:asciiTheme="minorHAnsi" w:hAnsiTheme="minorHAnsi" w:cstheme="minorHAnsi"/>
        </w:rPr>
        <w:lastRenderedPageBreak/>
        <w:t>artículo 2 promoverán la creación de sistemas que permitan la conservación de los documentos disponibles para su reutilización y se complementa la regulación sobre los catálogos de información pública para, junto a que en la medida de lo posible se facilitará la búsqueda multilingüe de los documentos, se permita en particular la agregación de metadatos a escala de la Unión Europea; por último, en este artículo 4 se incluye la referencia a un único punto de acceso, en consonancia con el artículo 9.2 de la Directiva, aunque se mantiene la obligatoriedad del Catálogo sólo para la información pública del ámbito de la Administración General del Estado y sus organismos y entidades de derecho público vinculados o dependientes, sin perjuicio de que los posibles catálogos de información pública reutilizable establecidos por el resto de sujetos previstos en el artículo 2 deberán interoperar con el catálogo nacional.</w:t>
      </w:r>
    </w:p>
    <w:p w14:paraId="1DBA7CDC" w14:textId="77777777" w:rsidR="008C1315" w:rsidRDefault="008C1315" w:rsidP="002B6327">
      <w:pPr>
        <w:pStyle w:val="Default"/>
        <w:rPr>
          <w:rFonts w:asciiTheme="minorHAnsi" w:hAnsiTheme="minorHAnsi" w:cstheme="minorHAnsi"/>
        </w:rPr>
      </w:pPr>
    </w:p>
    <w:p w14:paraId="57DD6660" w14:textId="5ADAFA20"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Por su parte, en el artículo 5 de este Título II, que regula los formatos disponibles para la reutilización, introducen novedades especialmente relevantes. Así, se incluye el principio de «documentos abiertos desde el diseño y por defecto» del apartado 2 del artículo 5 de la Directiva, de tal forma que la elaboración y la puesta a disposición de los documentos incluidos en el ámbito de aplicación de esta Ley se efectuará, en la medida de lo posible, conforme a dicho principio; asimismo, se añaden los apartados 4 y 5 sobre los datos dinámicos y conjuntos de alto valor en relación a los apartados 5, 6 y 8 del artículo 5 de la Directiva, de tal forma que los sujetos previstos en los párrafos a) y b) del artículo 2 pondrán a disposición los datos dinámicos de los que dispongan para su reutilización inmediatamente después de su recopilación, a través de «interfaces de programación de aplicaciones» (API) adecuadas y, cuando proceda, en forma de descarga masiva; se introduce la cautela de que cuando la puesta a disposición de datos dinámicos para su reutilización inmediatamente después de su recopilación pueda superar sus capacidades financieras o técnicas suponiendo un esfuerzo desproporcionado, esos datos dinámicos se pondrán a disposición para su reutilización en un plazo o con restricciones técnicas temporales que no perjudiquen indebidamente su potencial económico y social; por último, se señala que los conjuntos de datos de alto valor a que se refiere el artículo 3 ter, que obren en poder de los sujetos previstos en el artículo 2 se pondrán a disposición para su reutilización en un formato legible por máquina, a través de interfaces de programación de aplicaciones adecuadas y, cuando proceda, en forma de descarga masiva.</w:t>
      </w:r>
    </w:p>
    <w:p w14:paraId="6D4887CF" w14:textId="77777777" w:rsidR="00365128" w:rsidRDefault="00365128" w:rsidP="002B6327">
      <w:pPr>
        <w:pStyle w:val="Default"/>
        <w:rPr>
          <w:rFonts w:asciiTheme="minorHAnsi" w:hAnsiTheme="minorHAnsi" w:cstheme="minorHAnsi"/>
        </w:rPr>
      </w:pPr>
    </w:p>
    <w:p w14:paraId="1EFA3466" w14:textId="128F102E" w:rsidR="002B6327" w:rsidRPr="002B6327" w:rsidRDefault="002B6327" w:rsidP="00365128">
      <w:pPr>
        <w:pStyle w:val="Default"/>
        <w:rPr>
          <w:rFonts w:asciiTheme="minorHAnsi" w:hAnsiTheme="minorHAnsi" w:cstheme="minorHAnsi"/>
        </w:rPr>
      </w:pPr>
      <w:r w:rsidRPr="002B6327">
        <w:rPr>
          <w:rFonts w:asciiTheme="minorHAnsi" w:hAnsiTheme="minorHAnsi" w:cstheme="minorHAnsi"/>
        </w:rPr>
        <w:t>En el artículo 6, que regula la prohibición de derechos exclusivos, la modificación fundamental consiste en trasponer la previsión del artículo 12.4 de la Directiva, de forma que los acuerdos que, sin conceder expresamente un derecho exclusivo, conlleven una disponibilidad limitada para la reutilización de documentos por entidades distintas de quienes participen en el acuerdo, deberán ser transparentes y públicos, siendo sus condiciones finales puestas a disposición del público en línea al menos dos meses antes de su entrada en vigor. El efecto de estos acuerdos sobre la disponibilidad de datos para su reutilización estará sujeto a revisiones periódicas y, en todo caso, se someterá a revisión cada tres años.</w:t>
      </w:r>
    </w:p>
    <w:p w14:paraId="2B379DC2" w14:textId="77777777" w:rsidR="00365128" w:rsidRDefault="00365128" w:rsidP="002B6327">
      <w:pPr>
        <w:pStyle w:val="Default"/>
        <w:rPr>
          <w:rFonts w:asciiTheme="minorHAnsi" w:hAnsiTheme="minorHAnsi" w:cstheme="minorHAnsi"/>
        </w:rPr>
      </w:pPr>
    </w:p>
    <w:p w14:paraId="7FB8F2F6" w14:textId="46C91501"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 xml:space="preserve">En el artículo 7, que regula las tarifas, introduce, de una parte, el principio según el cual la reutilización de documentos se realizará con carácter gratuito, aunque cabe aplicar una tarifa por el suministro de documentos para su reutilización en las </w:t>
      </w:r>
      <w:r w:rsidRPr="002B6327">
        <w:rPr>
          <w:rFonts w:asciiTheme="minorHAnsi" w:hAnsiTheme="minorHAnsi" w:cstheme="minorHAnsi"/>
        </w:rPr>
        <w:lastRenderedPageBreak/>
        <w:t xml:space="preserve">condiciones previstas en la normativa estatal vigente o, en su caso, en la normativa que resulte de aplicación en el ámbito autonómico o local, limitándose la misma a los costes marginales en que se incurra para su reproducción, puesta a disposición, difusión, y, lo que constituye una novedad respecto de la legislación vigente, también por la </w:t>
      </w:r>
      <w:proofErr w:type="spellStart"/>
      <w:r w:rsidRPr="002B6327">
        <w:rPr>
          <w:rFonts w:asciiTheme="minorHAnsi" w:hAnsiTheme="minorHAnsi" w:cstheme="minorHAnsi"/>
        </w:rPr>
        <w:t>anonimización</w:t>
      </w:r>
      <w:proofErr w:type="spellEnd"/>
      <w:r w:rsidRPr="002B6327">
        <w:rPr>
          <w:rFonts w:asciiTheme="minorHAnsi" w:hAnsiTheme="minorHAnsi" w:cstheme="minorHAnsi"/>
        </w:rPr>
        <w:t xml:space="preserve"> de datos personales y las medidas adoptadas para proteger información comercial confidencial. Asimismo, se incluye un apartado sobre la reutilización gratuita para los conjuntos de datos de alto valor y los datos de investigación (con objeto de transponer el artículo 6.6 de la Directiva) con determinadas excepciones.</w:t>
      </w:r>
    </w:p>
    <w:p w14:paraId="7C4A3B12" w14:textId="77777777" w:rsidR="00365128" w:rsidRDefault="00365128" w:rsidP="002B6327">
      <w:pPr>
        <w:pStyle w:val="Default"/>
        <w:rPr>
          <w:rFonts w:asciiTheme="minorHAnsi" w:hAnsiTheme="minorHAnsi" w:cstheme="minorHAnsi"/>
        </w:rPr>
      </w:pPr>
    </w:p>
    <w:p w14:paraId="754DB343" w14:textId="156C717B"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En el artículo 8, que regula las condiciones de reutilización, la modificación se limita a ajustar la remisión al ámbito subjetivo del artículo 2 en su nueva redacción.</w:t>
      </w:r>
    </w:p>
    <w:p w14:paraId="40E300C2" w14:textId="77777777"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En el Título III, que regula el procedimiento de tramitación de las solicitudes de reutilización y el régimen sancionador, con relación al procedimiento regulado en el artículo 10 se han actualizado las referencias normativas a la legislación vigente, se ha ajustado el ámbito subjetivo al previsto en el artículo 2 y se ha introducido una previsión (en relación con el artículo 4.6 de la Directiva) que excluye del cumplimiento de este procedimiento a las sociedades mercantiles públicas previstas en el párrafo c) del artículo 2, los centros de enseñanza, las organizaciones que realicen actividades de investigación o que financien tales actividades.</w:t>
      </w:r>
    </w:p>
    <w:p w14:paraId="4FAA7BBB" w14:textId="77777777" w:rsidR="00365128" w:rsidRDefault="00365128" w:rsidP="002B6327">
      <w:pPr>
        <w:pStyle w:val="Default"/>
        <w:rPr>
          <w:rFonts w:asciiTheme="minorHAnsi" w:hAnsiTheme="minorHAnsi" w:cstheme="minorHAnsi"/>
        </w:rPr>
      </w:pPr>
    </w:p>
    <w:p w14:paraId="5FA0F036" w14:textId="0FABDF84"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Asimismo, se introduce en la ley un nuevo artículo 10.bis para facilitar el cumplimiento de la Directiva en cuanto a la coordinación de esta materia y la publicación de información de calidad con la figura de la «Unidad responsable de información» pues la experiencia en el catálogo nacional ha puesto en evidencia la necesidad de contar con estos responsables para disponer de un punto de contacto tanto para peticiones de ciudadanos como para actualizar la información allí dispuesta.</w:t>
      </w:r>
    </w:p>
    <w:p w14:paraId="3C2C2A60" w14:textId="77777777"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Por último, se han actualizado las referencias normativas a la legislación vigente en el artículo 11.</w:t>
      </w:r>
    </w:p>
    <w:p w14:paraId="3A34232E" w14:textId="77777777" w:rsidR="00365128" w:rsidRDefault="00365128" w:rsidP="002B6327">
      <w:pPr>
        <w:pStyle w:val="Default"/>
        <w:rPr>
          <w:rFonts w:asciiTheme="minorHAnsi" w:hAnsiTheme="minorHAnsi" w:cstheme="minorHAnsi"/>
        </w:rPr>
      </w:pPr>
    </w:p>
    <w:p w14:paraId="056267CA" w14:textId="5A59984A"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En cuanto a las modificaciones de la parte final se modifica la disposición adicional segunda para actualizar las referencias normativas a la legislación vigente; se suprime la disposición adicional tercera y las vigentes disposiciones adicionales cuarta y quinta pasan a ser reenumeradas como tercera y cuarta, respectivamente, manteniendo en ambos casos su actual redacción; se modifica la disposición transitoria única, en línea con el artículo 12.5 de la Directiva, para regular el régimen transitorio aplicable a los acuerdos exclusivos y se modifica la disposición final primera (fundamento constitucional) para incluir entre los preceptos no básicos al apartado 2 del nuevo artículo 10.bis.</w:t>
      </w:r>
    </w:p>
    <w:p w14:paraId="29857F38" w14:textId="77777777" w:rsidR="00365128" w:rsidRDefault="00365128" w:rsidP="002B6327">
      <w:pPr>
        <w:pStyle w:val="Default"/>
        <w:rPr>
          <w:rFonts w:asciiTheme="minorHAnsi" w:hAnsiTheme="minorHAnsi" w:cstheme="minorHAnsi"/>
        </w:rPr>
      </w:pPr>
    </w:p>
    <w:p w14:paraId="2B346BBA" w14:textId="7D365C72"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Por último, se modifica el anexo para incorporar determinadas definiciones previstas en la directiva a los efectos de la Ley 37/2007, de 16 de noviembre.</w:t>
      </w:r>
    </w:p>
    <w:p w14:paraId="02709B4D" w14:textId="77777777" w:rsidR="00365128" w:rsidRDefault="00365128" w:rsidP="002B6327">
      <w:pPr>
        <w:pStyle w:val="Default"/>
        <w:rPr>
          <w:rFonts w:asciiTheme="minorHAnsi" w:hAnsiTheme="minorHAnsi" w:cstheme="minorHAnsi"/>
        </w:rPr>
      </w:pPr>
    </w:p>
    <w:p w14:paraId="5005FC6F" w14:textId="77777777" w:rsidR="008C1315" w:rsidRDefault="008C1315" w:rsidP="002B6327">
      <w:pPr>
        <w:pStyle w:val="Default"/>
        <w:rPr>
          <w:rFonts w:asciiTheme="minorHAnsi" w:hAnsiTheme="minorHAnsi" w:cstheme="minorHAnsi"/>
        </w:rPr>
      </w:pPr>
    </w:p>
    <w:p w14:paraId="1B3D4A6C" w14:textId="77777777" w:rsidR="008C1315" w:rsidRDefault="008C1315" w:rsidP="002B6327">
      <w:pPr>
        <w:pStyle w:val="Default"/>
        <w:rPr>
          <w:rFonts w:asciiTheme="minorHAnsi" w:hAnsiTheme="minorHAnsi" w:cstheme="minorHAnsi"/>
        </w:rPr>
      </w:pPr>
    </w:p>
    <w:p w14:paraId="16C26DFE" w14:textId="77777777" w:rsidR="008C1315" w:rsidRDefault="008C1315" w:rsidP="002B6327">
      <w:pPr>
        <w:pStyle w:val="Default"/>
        <w:rPr>
          <w:rFonts w:asciiTheme="minorHAnsi" w:hAnsiTheme="minorHAnsi" w:cstheme="minorHAnsi"/>
        </w:rPr>
      </w:pPr>
    </w:p>
    <w:p w14:paraId="409BEFB5" w14:textId="77777777" w:rsidR="008C1315" w:rsidRDefault="008C1315" w:rsidP="002B6327">
      <w:pPr>
        <w:pStyle w:val="Default"/>
        <w:rPr>
          <w:rFonts w:asciiTheme="minorHAnsi" w:hAnsiTheme="minorHAnsi" w:cstheme="minorHAnsi"/>
        </w:rPr>
      </w:pPr>
    </w:p>
    <w:p w14:paraId="15159304" w14:textId="3C0255A2"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lastRenderedPageBreak/>
        <w:t>En definitiva, las principales novedades que se incluyen en la norma son las siguientes:</w:t>
      </w:r>
    </w:p>
    <w:p w14:paraId="3F6B2296" w14:textId="77777777" w:rsidR="00365128" w:rsidRDefault="00365128" w:rsidP="002B6327">
      <w:pPr>
        <w:pStyle w:val="Default"/>
        <w:rPr>
          <w:rFonts w:asciiTheme="minorHAnsi" w:hAnsiTheme="minorHAnsi" w:cstheme="minorHAnsi"/>
        </w:rPr>
      </w:pPr>
    </w:p>
    <w:p w14:paraId="77B5CF20" w14:textId="35029717"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a) Ampliación del alcance: Se incluyen una parte de las sociedades mercantiles públicas (que en la directiva denominan en español como «empresas públicas» dentro del ámbito de aplicación de la norma. Adicionalmente también se incluyen dentro del alcance los datos de investigación.</w:t>
      </w:r>
    </w:p>
    <w:p w14:paraId="73D75485" w14:textId="77777777" w:rsidR="00365128" w:rsidRDefault="00365128" w:rsidP="002B6327">
      <w:pPr>
        <w:pStyle w:val="Default"/>
        <w:rPr>
          <w:rFonts w:asciiTheme="minorHAnsi" w:hAnsiTheme="minorHAnsi" w:cstheme="minorHAnsi"/>
        </w:rPr>
      </w:pPr>
    </w:p>
    <w:p w14:paraId="43AE48B9" w14:textId="0C1A9BCA"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 xml:space="preserve">b) Formato de los documentos: Para facilitar la reutilización, los sujetos señalados en el artículo 2 facilitarán sus documentos por medios electrónicos, en formatos que sean abiertos, legibles por máquina, accesibles, fáciles de localizar y reutilizables, conjuntamente con sus metadatos. Adicionalmente, los organismos pondrán a disposición datos dinámicos para su reutilización inmediatamente después de su recopilación, a través de </w:t>
      </w:r>
      <w:proofErr w:type="spellStart"/>
      <w:r w:rsidRPr="002B6327">
        <w:rPr>
          <w:rFonts w:asciiTheme="minorHAnsi" w:hAnsiTheme="minorHAnsi" w:cstheme="minorHAnsi"/>
        </w:rPr>
        <w:t>APIs</w:t>
      </w:r>
      <w:proofErr w:type="spellEnd"/>
      <w:r w:rsidRPr="002B6327">
        <w:rPr>
          <w:rFonts w:asciiTheme="minorHAnsi" w:hAnsiTheme="minorHAnsi" w:cstheme="minorHAnsi"/>
        </w:rPr>
        <w:t xml:space="preserve"> y, cuando proceda, en forma de descarga masiva. Se introduce el concepto de conjuntos de datos de alto valor considerados como tales por sus beneficios para la sociedad, el medio ambiente y la economía.</w:t>
      </w:r>
    </w:p>
    <w:p w14:paraId="139D4817" w14:textId="77777777" w:rsidR="008C1315" w:rsidRDefault="008C1315" w:rsidP="002B6327">
      <w:pPr>
        <w:pStyle w:val="Default"/>
        <w:rPr>
          <w:rFonts w:asciiTheme="minorHAnsi" w:hAnsiTheme="minorHAnsi" w:cstheme="minorHAnsi"/>
        </w:rPr>
      </w:pPr>
    </w:p>
    <w:p w14:paraId="1028C2D8" w14:textId="3947D403" w:rsidR="002B6327" w:rsidRPr="002B6327" w:rsidRDefault="002B6327" w:rsidP="002B6327">
      <w:pPr>
        <w:pStyle w:val="Default"/>
        <w:rPr>
          <w:rFonts w:asciiTheme="minorHAnsi" w:hAnsiTheme="minorHAnsi" w:cstheme="minorHAnsi"/>
        </w:rPr>
      </w:pPr>
      <w:r w:rsidRPr="002B6327">
        <w:rPr>
          <w:rFonts w:asciiTheme="minorHAnsi" w:hAnsiTheme="minorHAnsi" w:cstheme="minorHAnsi"/>
        </w:rPr>
        <w:t xml:space="preserve">c) Principios de tarifación: Se establece que la reutilización de documentos será gratuita. No obstante, se contemplan algunas excepciones y que se pueda aplicar una tarifa limitándose a costes marginales en que incurra para su reproducción, puesta a disposición, difusión, </w:t>
      </w:r>
      <w:proofErr w:type="spellStart"/>
      <w:r w:rsidRPr="002B6327">
        <w:rPr>
          <w:rFonts w:asciiTheme="minorHAnsi" w:hAnsiTheme="minorHAnsi" w:cstheme="minorHAnsi"/>
        </w:rPr>
        <w:t>anonimización</w:t>
      </w:r>
      <w:proofErr w:type="spellEnd"/>
      <w:r w:rsidRPr="002B6327">
        <w:rPr>
          <w:rFonts w:asciiTheme="minorHAnsi" w:hAnsiTheme="minorHAnsi" w:cstheme="minorHAnsi"/>
        </w:rPr>
        <w:t xml:space="preserve"> de datos personales y las medidas adoptadas para proteger información comercial confidencial.</w:t>
      </w:r>
    </w:p>
    <w:p w14:paraId="6F894C34" w14:textId="77777777" w:rsidR="00365128" w:rsidRDefault="00365128" w:rsidP="002B6327">
      <w:pPr>
        <w:pStyle w:val="Default"/>
        <w:rPr>
          <w:rFonts w:asciiTheme="minorHAnsi" w:hAnsiTheme="minorHAnsi" w:cstheme="minorHAnsi"/>
        </w:rPr>
      </w:pPr>
    </w:p>
    <w:p w14:paraId="28F414B6" w14:textId="1435FEA5" w:rsidR="00365128" w:rsidRDefault="002B6327" w:rsidP="008C1315">
      <w:pPr>
        <w:pStyle w:val="Default"/>
        <w:rPr>
          <w:rFonts w:asciiTheme="minorHAnsi" w:hAnsiTheme="minorHAnsi" w:cstheme="minorHAnsi"/>
        </w:rPr>
      </w:pPr>
      <w:r w:rsidRPr="002B6327">
        <w:rPr>
          <w:rFonts w:asciiTheme="minorHAnsi" w:hAnsiTheme="minorHAnsi" w:cstheme="minorHAnsi"/>
        </w:rPr>
        <w:t>d) Acuerdos exclusivos: Se procura una mayor transparencia al establecimiento de acuerdos exclusivos y reducir aún más las condiciones para realizar este tipo de acuerdos.</w:t>
      </w:r>
    </w:p>
    <w:p w14:paraId="7676C852" w14:textId="77777777" w:rsidR="008C1315" w:rsidRPr="008C1315" w:rsidRDefault="008C1315" w:rsidP="008C1315">
      <w:pPr>
        <w:pStyle w:val="Default"/>
        <w:rPr>
          <w:rFonts w:asciiTheme="minorHAnsi" w:hAnsiTheme="minorHAnsi" w:cstheme="minorHAnsi"/>
        </w:rPr>
      </w:pPr>
    </w:p>
    <w:p w14:paraId="0EB22B5F" w14:textId="659F15B7" w:rsidR="00B10DAF" w:rsidRPr="002B6327" w:rsidRDefault="002B6327" w:rsidP="002B6327">
      <w:pPr>
        <w:rPr>
          <w:rFonts w:cstheme="minorHAnsi"/>
          <w:sz w:val="24"/>
          <w:szCs w:val="24"/>
        </w:rPr>
      </w:pPr>
      <w:r w:rsidRPr="002B6327">
        <w:rPr>
          <w:rFonts w:cstheme="minorHAnsi"/>
          <w:sz w:val="24"/>
          <w:szCs w:val="24"/>
        </w:rPr>
        <w:t xml:space="preserve">Por su parte, en lo que se refiere al recurso al real decreto-ley como instrumento de transposición, cabe señalar que viene motivado por el vencimiento del plazo para la </w:t>
      </w:r>
      <w:r w:rsidRPr="00D64970">
        <w:rPr>
          <w:rFonts w:cstheme="minorHAnsi"/>
          <w:sz w:val="24"/>
          <w:szCs w:val="24"/>
        </w:rPr>
        <w:t>transposición de la Directiva (UE) 2019/1024 del Parlamento Europeo y del Consejo, de 20 de junio de 2019. El plazo</w:t>
      </w:r>
      <w:r w:rsidR="00D64970" w:rsidRPr="00D64970">
        <w:rPr>
          <w:rFonts w:cstheme="minorHAnsi"/>
          <w:sz w:val="24"/>
          <w:szCs w:val="24"/>
        </w:rPr>
        <w:t xml:space="preserve"> </w:t>
      </w:r>
      <w:r w:rsidR="00D64970" w:rsidRPr="00D64970">
        <w:rPr>
          <w:sz w:val="24"/>
          <w:szCs w:val="24"/>
        </w:rPr>
        <w:t>El plazo máximo otorgado a los Estados miembros para su incorporación a los ordenamientos jurídicos internos finalizó el pasado 17 de julio, habiéndose recibido ya la correspondiente carta de emplazamiento el pasado 29 de septiembre, primera fase de la apertura de un procedimiento de infracción (2021/0411).</w:t>
      </w:r>
    </w:p>
    <w:sectPr w:rsidR="00B10DAF" w:rsidRPr="002B632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9"/>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6327"/>
    <w:rsid w:val="002B6327"/>
    <w:rsid w:val="00365128"/>
    <w:rsid w:val="00876B32"/>
    <w:rsid w:val="008C1315"/>
    <w:rsid w:val="00B10DAF"/>
    <w:rsid w:val="00D6497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D5DD8A"/>
  <w15:chartTrackingRefBased/>
  <w15:docId w15:val="{5D4019D9-F280-43D6-B318-8C1CF9FA94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2B6327"/>
    <w:pPr>
      <w:autoSpaceDE w:val="0"/>
      <w:autoSpaceDN w:val="0"/>
      <w:adjustRightInd w:val="0"/>
      <w:spacing w:after="0" w:line="240" w:lineRule="auto"/>
    </w:pPr>
    <w:rPr>
      <w:rFonts w:ascii="Arial" w:hAnsi="Arial" w:cs="Arial"/>
      <w:color w:val="000000"/>
      <w:sz w:val="24"/>
      <w:szCs w:val="24"/>
    </w:rPr>
  </w:style>
  <w:style w:type="character" w:styleId="Hipervnculo">
    <w:name w:val="Hyperlink"/>
    <w:basedOn w:val="Fuentedeprrafopredeter"/>
    <w:uiPriority w:val="99"/>
    <w:unhideWhenUsed/>
    <w:rsid w:val="00876B32"/>
    <w:rPr>
      <w:color w:val="0563C1" w:themeColor="hyperlink"/>
      <w:u w:val="single"/>
    </w:rPr>
  </w:style>
  <w:style w:type="character" w:styleId="Mencinsinresolver">
    <w:name w:val="Unresolved Mention"/>
    <w:basedOn w:val="Fuentedeprrafopredeter"/>
    <w:uiPriority w:val="99"/>
    <w:semiHidden/>
    <w:unhideWhenUsed/>
    <w:rsid w:val="00876B3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boe.es/boe/dias/2021/11/03/pdfs/BOE-A-2021-17910.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158</TotalTime>
  <Pages>6</Pages>
  <Words>2843</Words>
  <Characters>15642</Characters>
  <DocSecurity>0</DocSecurity>
  <Lines>130</Lines>
  <Paragraphs>36</Paragraphs>
  <ScaleCrop>false</ScaleCrop>
  <Company/>
  <LinksUpToDate>false</LinksUpToDate>
  <CharactersWithSpaces>18449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2021-11-03T08:39:00Z</dcterms:created>
  <dcterms:modified xsi:type="dcterms:W3CDTF">2021-11-03T11:17:00Z</dcterms:modified>
</cp:coreProperties>
</file>